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0D" w:rsidRPr="00FE7A0D" w:rsidRDefault="00FE7A0D" w:rsidP="00FE7A0D">
      <w:pPr>
        <w:tabs>
          <w:tab w:val="left" w:pos="4536"/>
        </w:tabs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ru-RU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>Приложение</w:t>
      </w:r>
      <w:r w:rsidR="004201AC">
        <w:rPr>
          <w:rFonts w:eastAsia="Times New Roman"/>
          <w:bCs/>
          <w:iCs/>
          <w:sz w:val="27"/>
          <w:szCs w:val="27"/>
          <w:lang w:eastAsia="ar-SA"/>
        </w:rPr>
        <w:t xml:space="preserve"> № 1</w:t>
      </w:r>
    </w:p>
    <w:p w:rsidR="00FE7A0D" w:rsidRPr="00FE7A0D" w:rsidRDefault="00FE7A0D" w:rsidP="00FE7A0D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>к решению муниципального совета</w:t>
      </w:r>
    </w:p>
    <w:p w:rsidR="00FE7A0D" w:rsidRPr="00FE7A0D" w:rsidRDefault="00FE7A0D" w:rsidP="00FE7A0D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>внутригородского муниципального образования Санкт-Петербурга муниципальный округ Сергиевское</w:t>
      </w:r>
    </w:p>
    <w:p w:rsidR="00FE7A0D" w:rsidRPr="00FE7A0D" w:rsidRDefault="006C1BDB" w:rsidP="00FE7A0D">
      <w:pPr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>
        <w:rPr>
          <w:rFonts w:eastAsia="Times New Roman"/>
          <w:bCs/>
          <w:iCs/>
          <w:sz w:val="27"/>
          <w:szCs w:val="27"/>
          <w:lang w:eastAsia="ar-SA"/>
        </w:rPr>
        <w:t>от 20</w:t>
      </w:r>
      <w:r w:rsidR="00FE7A0D" w:rsidRPr="00FE7A0D">
        <w:rPr>
          <w:rFonts w:eastAsia="Times New Roman"/>
          <w:bCs/>
          <w:iCs/>
          <w:sz w:val="27"/>
          <w:szCs w:val="27"/>
          <w:lang w:eastAsia="ar-SA"/>
        </w:rPr>
        <w:t xml:space="preserve"> </w:t>
      </w:r>
      <w:r w:rsidR="006F7161">
        <w:rPr>
          <w:rFonts w:eastAsia="Times New Roman"/>
          <w:bCs/>
          <w:iCs/>
          <w:sz w:val="27"/>
          <w:szCs w:val="27"/>
          <w:lang w:eastAsia="ar-SA"/>
        </w:rPr>
        <w:t>декабря 2021 года № 21</w:t>
      </w:r>
      <w:r w:rsidR="004201AC">
        <w:rPr>
          <w:rFonts w:eastAsia="Times New Roman"/>
          <w:bCs/>
          <w:iCs/>
          <w:sz w:val="27"/>
          <w:szCs w:val="27"/>
          <w:lang w:eastAsia="ar-SA"/>
        </w:rPr>
        <w:t>/</w:t>
      </w:r>
      <w:r w:rsidR="00B15FCA">
        <w:rPr>
          <w:rFonts w:eastAsia="Times New Roman"/>
          <w:bCs/>
          <w:iCs/>
          <w:sz w:val="27"/>
          <w:szCs w:val="27"/>
          <w:lang w:eastAsia="ar-SA"/>
        </w:rPr>
        <w:t>2</w:t>
      </w:r>
    </w:p>
    <w:p w:rsidR="007320E9" w:rsidRPr="00EE6FB9" w:rsidRDefault="007320E9" w:rsidP="007320E9">
      <w:pPr>
        <w:spacing w:after="0"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201AC" w:rsidRPr="004201AC" w:rsidRDefault="004201AC" w:rsidP="004201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201AC" w:rsidRDefault="004201AC" w:rsidP="004201AC">
      <w:pPr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 оплате труда работников, занимающих должности, не </w:t>
      </w:r>
      <w:proofErr w:type="spellStart"/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отнесенные</w:t>
      </w:r>
      <w:proofErr w:type="spellEnd"/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 должностям муниципальной службы Санкт-Петербурга, осуществляющих техническое обеспечение де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ятельности муниципального совета</w:t>
      </w: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внутригородс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кого муниципального образования Санкт-Петербурга </w:t>
      </w:r>
      <w:r w:rsidR="006F716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муниципальный округ </w:t>
      </w: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Сергиевское</w:t>
      </w:r>
    </w:p>
    <w:p w:rsidR="004201AC" w:rsidRPr="004201AC" w:rsidRDefault="004201AC" w:rsidP="004201A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01AC" w:rsidRPr="004201AC" w:rsidRDefault="004201AC" w:rsidP="004201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15FCA">
        <w:rPr>
          <w:rFonts w:eastAsia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Трудовым кодексом Российской Федерации, Уставом внутригородского муниципально</w:t>
      </w:r>
      <w:r w:rsidR="00B15FCA">
        <w:rPr>
          <w:rFonts w:eastAsia="Times New Roman"/>
          <w:color w:val="000000"/>
          <w:sz w:val="28"/>
          <w:szCs w:val="28"/>
          <w:lang w:eastAsia="ru-RU"/>
        </w:rPr>
        <w:t xml:space="preserve">го образования Санкт-Петербурга муниципальный округ </w:t>
      </w:r>
      <w:r w:rsidRPr="00B15FCA">
        <w:rPr>
          <w:rFonts w:eastAsia="Times New Roman"/>
          <w:color w:val="000000"/>
          <w:sz w:val="28"/>
          <w:szCs w:val="28"/>
          <w:lang w:eastAsia="ru-RU"/>
        </w:rPr>
        <w:t>Сергиевское.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1.2.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Настоящее Положение устанавливает порядок определения размера 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>и установления оклада, надбавок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и иных выплат работникам, исполняющим обязанности по техническому обеспечению де</w:t>
      </w:r>
      <w:r>
        <w:rPr>
          <w:rFonts w:eastAsia="Times New Roman"/>
          <w:color w:val="000000"/>
          <w:sz w:val="28"/>
          <w:szCs w:val="28"/>
          <w:lang w:eastAsia="ru-RU"/>
        </w:rPr>
        <w:t>ятельности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внутригородского муниципального образования Санкт</w:t>
      </w:r>
      <w:r w:rsidR="00B15FCA">
        <w:rPr>
          <w:rFonts w:eastAsia="Times New Roman"/>
          <w:color w:val="000000"/>
          <w:sz w:val="28"/>
          <w:szCs w:val="28"/>
          <w:lang w:eastAsia="ru-RU"/>
        </w:rPr>
        <w:t xml:space="preserve">-Петербурга муниципальный округ 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Сергиевское, не замещающим должности муниципальной службы и не являющимися муниципальными служащими (далее – работники).</w:t>
      </w:r>
    </w:p>
    <w:p w:rsidR="004201AC" w:rsidRDefault="004201AC" w:rsidP="004201AC">
      <w:pPr>
        <w:spacing w:after="0" w:line="240" w:lineRule="auto"/>
        <w:ind w:firstLine="709"/>
        <w:jc w:val="center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4201AC" w:rsidRPr="004201AC" w:rsidRDefault="004201AC" w:rsidP="004201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2. Порядок определения размера и установления </w:t>
      </w:r>
      <w:proofErr w:type="gramStart"/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оклада,</w:t>
      </w:r>
      <w:r w:rsidRPr="004201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надбавок</w:t>
      </w:r>
      <w:proofErr w:type="gramEnd"/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и иных выплат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2.1. Размер оклада работников определяется путём суммирования базового оклада и произведени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>й базового оклада на повышающие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коэффициенты.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2.2. Базовый оклад соответствует базовой единице, размер которой устанавливается Законом Санкт-Петербурга о бюджете на очередной финансовый год.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2.3. Перечень должностей работников, осуществляющих техническое обеспечение де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>ятельности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внутригородского муниципально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>го образования Санкт-Петербурга муниципальный округ Сергиевское (далее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)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 xml:space="preserve"> определяется решением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2.4. Повышающие коэффициенты к базовому окладу устанавливаются исходя из уровня образования работника, стажа работы, специфики работы, уровня квалификации, масштаба и уровня управления, требуемых для исполнения </w:t>
      </w:r>
      <w:r w:rsidR="00B15FCA">
        <w:rPr>
          <w:rFonts w:eastAsia="Times New Roman"/>
          <w:color w:val="000000"/>
          <w:sz w:val="28"/>
          <w:szCs w:val="28"/>
          <w:lang w:eastAsia="ru-RU"/>
        </w:rPr>
        <w:t xml:space="preserve">обязанностей </w:t>
      </w:r>
      <w:r w:rsidR="00645AB1" w:rsidRPr="004201AC">
        <w:rPr>
          <w:rFonts w:eastAsia="Times New Roman"/>
          <w:color w:val="000000"/>
          <w:sz w:val="28"/>
          <w:szCs w:val="28"/>
          <w:lang w:eastAsia="ru-RU"/>
        </w:rPr>
        <w:t>по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соответствующей должности, </w:t>
      </w:r>
      <w:r w:rsidR="00B15FCA" w:rsidRPr="004201AC">
        <w:rPr>
          <w:rFonts w:eastAsia="Times New Roman"/>
          <w:color w:val="000000"/>
          <w:sz w:val="28"/>
          <w:szCs w:val="28"/>
          <w:lang w:eastAsia="ru-RU"/>
        </w:rPr>
        <w:t>в размере,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>определённом решением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2.5. В целях усиления материальной заинтересованности, стимулирования работников, повышения качества выполнения задач по техническому обеспечению де</w:t>
      </w:r>
      <w:r w:rsidR="009C08A4">
        <w:rPr>
          <w:rFonts w:eastAsia="Times New Roman"/>
          <w:color w:val="000000"/>
          <w:sz w:val="28"/>
          <w:szCs w:val="28"/>
          <w:lang w:eastAsia="ru-RU"/>
        </w:rPr>
        <w:t>ятельности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, своевременного и 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lastRenderedPageBreak/>
        <w:t>добросовестного исполнения функциональных обязанностей, работникам устанавливаются следующие дополнительные выплаты: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-премия по результатам работы,</w:t>
      </w:r>
    </w:p>
    <w:p w:rsidR="004201AC" w:rsidRDefault="004201AC" w:rsidP="004201AC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-надбавка за особые условия работы.</w:t>
      </w:r>
    </w:p>
    <w:p w:rsidR="00645AB1" w:rsidRPr="004201AC" w:rsidRDefault="00645AB1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01AC" w:rsidRPr="004201AC" w:rsidRDefault="004201AC" w:rsidP="00645A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3. Премирование работников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3.1. Основными показателями (критериями) премирования являются: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- высокое качество работы,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- успешное и добросовестное исполнение своих функциональных обязанностей;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- разумная инициатива, творчество и применение в работе современных форм и методов организации труда,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- другие конкретные успехи в работе.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3.3. Размер премии устанавливается распоряже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>нием Главы муниципального образования, исполняющий полномочия председателя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3.4. Премирование работников может осуществляться: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- по результатам работы за месяц за фактически отработанное время;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- в виде выплаты единовременной премии, в том числе приуроченной к общероссийским и городским праздникам, памятным датам, юбилею работника, выходу на пенсию;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- по итогам работы за квартал, полугодие, год.</w:t>
      </w:r>
    </w:p>
    <w:p w:rsidR="004201AC" w:rsidRDefault="004201AC" w:rsidP="004201AC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3.5. Не представляются к премированию работники, имеющие неснятое дисциплинарное взыскание в </w:t>
      </w:r>
      <w:proofErr w:type="spellStart"/>
      <w:r w:rsidRPr="004201AC">
        <w:rPr>
          <w:rFonts w:eastAsia="Times New Roman"/>
          <w:color w:val="000000"/>
          <w:sz w:val="28"/>
          <w:szCs w:val="28"/>
          <w:lang w:eastAsia="ru-RU"/>
        </w:rPr>
        <w:t>учетном</w:t>
      </w:r>
      <w:proofErr w:type="spellEnd"/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периоде.</w:t>
      </w:r>
    </w:p>
    <w:p w:rsidR="00645AB1" w:rsidRPr="004201AC" w:rsidRDefault="00645AB1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01AC" w:rsidRPr="004201AC" w:rsidRDefault="004201AC" w:rsidP="00645A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4. Надбавка к окладу за особые условия работы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4.1. Надбавка к окладу за особые условия работы (далее – надбавка) устанавливается работнику при выполнении непредусмотренных его должностной инструкцией и трудовым договором поручений руководства, в связи с </w:t>
      </w:r>
      <w:proofErr w:type="spellStart"/>
      <w:r w:rsidRPr="004201AC">
        <w:rPr>
          <w:rFonts w:eastAsia="Times New Roman"/>
          <w:color w:val="000000"/>
          <w:sz w:val="28"/>
          <w:szCs w:val="28"/>
          <w:lang w:eastAsia="ru-RU"/>
        </w:rPr>
        <w:t>напряженностью</w:t>
      </w:r>
      <w:proofErr w:type="spellEnd"/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работы, пр</w:t>
      </w:r>
      <w:r w:rsidR="00B15FCA">
        <w:rPr>
          <w:rFonts w:eastAsia="Times New Roman"/>
          <w:color w:val="000000"/>
          <w:sz w:val="28"/>
          <w:szCs w:val="28"/>
          <w:lang w:eastAsia="ru-RU"/>
        </w:rPr>
        <w:t>ивлечением работника к работе в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выходные и праздничные дни.</w:t>
      </w:r>
    </w:p>
    <w:p w:rsidR="004201AC" w:rsidRDefault="004201AC" w:rsidP="004201AC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4.2. Размер надбавки к окладу за особые условия работы устанавливается распоряжением 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>Главы муниципального образования, исполняющий полномочия председателя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45AB1" w:rsidRPr="004201AC" w:rsidRDefault="00645AB1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01AC" w:rsidRPr="004201AC" w:rsidRDefault="004201AC" w:rsidP="00645A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5. Формирование фонда оплаты труда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5.1. При формировании и утверждении фонда оплаты труда работников, осуществляющих техническое обеспечение де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>ятельности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, сверх суммы средств, направляемых для выплаты им окладов, устанавливаются следующие предельные нормативы на дополнительные выплаты (в </w:t>
      </w:r>
      <w:proofErr w:type="spellStart"/>
      <w:r w:rsidRPr="004201AC">
        <w:rPr>
          <w:rFonts w:eastAsia="Times New Roman"/>
          <w:color w:val="000000"/>
          <w:sz w:val="28"/>
          <w:szCs w:val="28"/>
          <w:lang w:eastAsia="ru-RU"/>
        </w:rPr>
        <w:t>расчете</w:t>
      </w:r>
      <w:proofErr w:type="spellEnd"/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на одного работника в год):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201AC">
        <w:rPr>
          <w:rFonts w:eastAsia="Times New Roman"/>
          <w:color w:val="000000"/>
          <w:sz w:val="28"/>
          <w:szCs w:val="28"/>
          <w:lang w:eastAsia="ru-RU"/>
        </w:rPr>
        <w:t>премии  в</w:t>
      </w:r>
      <w:proofErr w:type="gramEnd"/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размере </w:t>
      </w:r>
      <w:proofErr w:type="spellStart"/>
      <w:r w:rsidRPr="004201AC">
        <w:rPr>
          <w:rFonts w:eastAsia="Times New Roman"/>
          <w:color w:val="000000"/>
          <w:sz w:val="28"/>
          <w:szCs w:val="28"/>
          <w:lang w:eastAsia="ru-RU"/>
        </w:rPr>
        <w:t>трех</w:t>
      </w:r>
      <w:proofErr w:type="spellEnd"/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окладов,</w:t>
      </w:r>
    </w:p>
    <w:p w:rsidR="004201AC" w:rsidRDefault="004201AC" w:rsidP="004201AC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- надбавки к окладу за особые условия работы в размере </w:t>
      </w:r>
      <w:proofErr w:type="spellStart"/>
      <w:r w:rsidRPr="004201AC">
        <w:rPr>
          <w:rFonts w:eastAsia="Times New Roman"/>
          <w:color w:val="000000"/>
          <w:sz w:val="28"/>
          <w:szCs w:val="28"/>
          <w:lang w:eastAsia="ru-RU"/>
        </w:rPr>
        <w:t>трех</w:t>
      </w:r>
      <w:proofErr w:type="spellEnd"/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окладов.</w:t>
      </w:r>
    </w:p>
    <w:p w:rsidR="00B15FCA" w:rsidRPr="004201AC" w:rsidRDefault="00B15FCA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01AC" w:rsidRPr="004201AC" w:rsidRDefault="004201AC" w:rsidP="00645AB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Порядок оплаты труда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lastRenderedPageBreak/>
        <w:t>6.1.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Выплата заработной платы работникам, осуществляющим техническое обеспечение де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>ятельности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, производится два раза в месяц путём перечисления денежных средств на личный расчётный счёт.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6.2.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Заработная плата за первую половину месяца - 25 числа текущего месяца.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6.3.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Окончательный расчёт – 10 числа следующего месяца.</w:t>
      </w:r>
    </w:p>
    <w:p w:rsidR="004201AC" w:rsidRDefault="004201AC" w:rsidP="004201AC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6.4.</w:t>
      </w:r>
      <w:r w:rsidR="00645AB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При совпадении одного из указанных дней выплаты с выходным либо праздничным днём – в предшествующий рабочий день.</w:t>
      </w:r>
    </w:p>
    <w:p w:rsidR="00645AB1" w:rsidRPr="004201AC" w:rsidRDefault="00645AB1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01AC" w:rsidRPr="004201AC" w:rsidRDefault="004201AC" w:rsidP="00645AB1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Расчёты при увольнении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7.1.</w:t>
      </w:r>
      <w:r w:rsidR="009C08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При увольнении работников, осуществляющих техническое обеспечение де</w:t>
      </w:r>
      <w:r w:rsidR="009C08A4">
        <w:rPr>
          <w:rFonts w:eastAsia="Times New Roman"/>
          <w:color w:val="000000"/>
          <w:sz w:val="28"/>
          <w:szCs w:val="28"/>
          <w:lang w:eastAsia="ru-RU"/>
        </w:rPr>
        <w:t>ятельности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, расчёт и перечисление всех сумм, причитающихся им, производится в день увольнения.</w:t>
      </w:r>
    </w:p>
    <w:p w:rsidR="004201AC" w:rsidRDefault="004201AC" w:rsidP="004201AC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7.2.</w:t>
      </w:r>
      <w:r w:rsidR="009C08A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В исключительных случаях, например, в случае срочного увольнения, перечисление всех сумм может быть произведено в течение трёх рабочих дней, следующих за днём увольнения.</w:t>
      </w:r>
    </w:p>
    <w:p w:rsidR="009C08A4" w:rsidRPr="004201AC" w:rsidRDefault="009C08A4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01AC" w:rsidRPr="004201AC" w:rsidRDefault="004201AC" w:rsidP="009C0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8. Заключительные положения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8.1. В случае возникновения сложной жизненной ситуации (тяжёлой болезни, необходимости приобретения</w:t>
      </w:r>
      <w:r w:rsidR="00B15FCA">
        <w:rPr>
          <w:rFonts w:eastAsia="Times New Roman"/>
          <w:color w:val="000000"/>
          <w:sz w:val="28"/>
          <w:szCs w:val="28"/>
          <w:lang w:eastAsia="ru-RU"/>
        </w:rPr>
        <w:t xml:space="preserve"> дорогостоящих лекарств, смерти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 близких родственников) работникам, осуществляющим техническое обеспечение де</w:t>
      </w:r>
      <w:r w:rsidR="009C08A4">
        <w:rPr>
          <w:rFonts w:eastAsia="Times New Roman"/>
          <w:color w:val="000000"/>
          <w:sz w:val="28"/>
          <w:szCs w:val="28"/>
          <w:lang w:eastAsia="ru-RU"/>
        </w:rPr>
        <w:t>ятельности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, по личному заявлению, может быть выплачена материальная помощь в размере, определяемом распоряжением </w:t>
      </w:r>
      <w:r w:rsidR="009C08A4">
        <w:rPr>
          <w:rFonts w:eastAsia="Times New Roman"/>
          <w:color w:val="000000"/>
          <w:sz w:val="28"/>
          <w:szCs w:val="28"/>
          <w:lang w:eastAsia="ru-RU"/>
        </w:rPr>
        <w:t>Главы муниципального образования, исполняющий полномочия председателя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>8.2. Сумма сложившейся экономии фонда оплаты труда может быть направлена на выплату единовременного премирования за выполнение важных задач, к юбилейным или праздничным датам.</w:t>
      </w:r>
    </w:p>
    <w:p w:rsidR="004201AC" w:rsidRPr="004201AC" w:rsidRDefault="004201AC" w:rsidP="004201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8.3. Финансирование расходов, предусмотренных настоящим Положением, осуществляется в установленном порядке, в пределах средств, предусмотренных в бюджете </w:t>
      </w:r>
      <w:r w:rsidR="009C08A4">
        <w:rPr>
          <w:rFonts w:eastAsia="Times New Roman"/>
          <w:color w:val="000000"/>
          <w:sz w:val="28"/>
          <w:szCs w:val="28"/>
          <w:lang w:eastAsia="ru-RU"/>
        </w:rPr>
        <w:t xml:space="preserve">МО </w:t>
      </w:r>
      <w:proofErr w:type="spellStart"/>
      <w:r w:rsidR="00B15FCA">
        <w:rPr>
          <w:rFonts w:eastAsia="Times New Roman"/>
          <w:color w:val="000000"/>
          <w:sz w:val="28"/>
          <w:szCs w:val="28"/>
          <w:lang w:eastAsia="ru-RU"/>
        </w:rPr>
        <w:t>МО</w:t>
      </w:r>
      <w:proofErr w:type="spellEnd"/>
      <w:r w:rsidR="00B15FCA">
        <w:rPr>
          <w:rFonts w:eastAsia="Times New Roman"/>
          <w:color w:val="000000"/>
          <w:sz w:val="28"/>
          <w:szCs w:val="28"/>
          <w:lang w:eastAsia="ru-RU"/>
        </w:rPr>
        <w:t xml:space="preserve"> Сергиевское 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="009C08A4">
        <w:rPr>
          <w:rFonts w:eastAsia="Times New Roman"/>
          <w:color w:val="000000"/>
          <w:sz w:val="28"/>
          <w:szCs w:val="28"/>
          <w:lang w:eastAsia="ru-RU"/>
        </w:rPr>
        <w:t>содержание муниципального совета</w:t>
      </w:r>
      <w:r w:rsidRPr="004201AC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F7161" w:rsidRDefault="006F7161" w:rsidP="004201AC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7161" w:rsidRPr="00FE7A0D" w:rsidRDefault="006F7161" w:rsidP="006F7161">
      <w:pPr>
        <w:tabs>
          <w:tab w:val="left" w:pos="4536"/>
        </w:tabs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ru-RU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lastRenderedPageBreak/>
        <w:t>Приложение</w:t>
      </w:r>
      <w:r>
        <w:rPr>
          <w:rFonts w:eastAsia="Times New Roman"/>
          <w:bCs/>
          <w:iCs/>
          <w:sz w:val="27"/>
          <w:szCs w:val="27"/>
          <w:lang w:eastAsia="ar-SA"/>
        </w:rPr>
        <w:t xml:space="preserve"> № 2</w:t>
      </w:r>
    </w:p>
    <w:p w:rsidR="006F7161" w:rsidRPr="00FE7A0D" w:rsidRDefault="006F7161" w:rsidP="006F7161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>к решению муниципального совета</w:t>
      </w:r>
    </w:p>
    <w:p w:rsidR="006F7161" w:rsidRPr="00FE7A0D" w:rsidRDefault="006F7161" w:rsidP="006F7161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>внутригородского муниципального образования Санкт-Петербурга муниципальный округ Сергиевское</w:t>
      </w:r>
    </w:p>
    <w:p w:rsidR="006F7161" w:rsidRPr="00FE7A0D" w:rsidRDefault="006C1BDB" w:rsidP="006F7161">
      <w:pPr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>
        <w:rPr>
          <w:rFonts w:eastAsia="Times New Roman"/>
          <w:bCs/>
          <w:iCs/>
          <w:sz w:val="27"/>
          <w:szCs w:val="27"/>
          <w:lang w:eastAsia="ar-SA"/>
        </w:rPr>
        <w:t>от 20</w:t>
      </w:r>
      <w:r w:rsidR="006F7161" w:rsidRPr="00FE7A0D">
        <w:rPr>
          <w:rFonts w:eastAsia="Times New Roman"/>
          <w:bCs/>
          <w:iCs/>
          <w:sz w:val="27"/>
          <w:szCs w:val="27"/>
          <w:lang w:eastAsia="ar-SA"/>
        </w:rPr>
        <w:t xml:space="preserve"> </w:t>
      </w:r>
      <w:r w:rsidR="006F7161">
        <w:rPr>
          <w:rFonts w:eastAsia="Times New Roman"/>
          <w:bCs/>
          <w:iCs/>
          <w:sz w:val="27"/>
          <w:szCs w:val="27"/>
          <w:lang w:eastAsia="ar-SA"/>
        </w:rPr>
        <w:t>декабря 2021 года № 21/</w:t>
      </w:r>
      <w:r w:rsidR="00B15FCA">
        <w:rPr>
          <w:rFonts w:eastAsia="Times New Roman"/>
          <w:bCs/>
          <w:iCs/>
          <w:sz w:val="27"/>
          <w:szCs w:val="27"/>
          <w:lang w:eastAsia="ar-SA"/>
        </w:rPr>
        <w:t>2</w:t>
      </w:r>
    </w:p>
    <w:p w:rsidR="006F7161" w:rsidRDefault="006F7161" w:rsidP="006F7161">
      <w:pPr>
        <w:spacing w:before="100" w:after="100" w:line="240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</w:p>
    <w:p w:rsidR="006F7161" w:rsidRDefault="006F7161" w:rsidP="006F7161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r w:rsidRPr="0094270F">
        <w:rPr>
          <w:rFonts w:eastAsia="Times New Roman"/>
          <w:b/>
          <w:bCs/>
          <w:color w:val="000000"/>
          <w:lang w:eastAsia="ru-RU"/>
        </w:rPr>
        <w:t xml:space="preserve">ПЕРЕЧЕНЬ </w:t>
      </w:r>
    </w:p>
    <w:p w:rsidR="006F7161" w:rsidRPr="0094270F" w:rsidRDefault="006F7161" w:rsidP="006F716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д</w:t>
      </w:r>
      <w:r w:rsidRPr="006F7161">
        <w:rPr>
          <w:rFonts w:eastAsia="Times New Roman"/>
          <w:b/>
          <w:bCs/>
          <w:color w:val="000000"/>
          <w:sz w:val="28"/>
          <w:szCs w:val="28"/>
          <w:lang w:eastAsia="ru-RU"/>
        </w:rPr>
        <w:t>олжностей работников, осуществляющих техническое обеспечение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де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ятельности муниципального совета</w:t>
      </w: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внутригородс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кого муниципального образования Санкт-Петербурга муниципальный округ </w:t>
      </w: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Сергиевское</w:t>
      </w:r>
    </w:p>
    <w:p w:rsidR="006F7161" w:rsidRPr="0094270F" w:rsidRDefault="006F7161" w:rsidP="006F716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94270F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6F7161" w:rsidRPr="0094270F" w:rsidTr="00AC501D">
        <w:trPr>
          <w:trHeight w:val="288"/>
        </w:trPr>
        <w:tc>
          <w:tcPr>
            <w:tcW w:w="9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161" w:rsidRPr="0094270F" w:rsidRDefault="006F7161" w:rsidP="006F716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lang w:eastAsia="ru-RU"/>
              </w:rPr>
              <w:t>Наименование должностей</w:t>
            </w:r>
          </w:p>
        </w:tc>
      </w:tr>
      <w:tr w:rsidR="006F7161" w:rsidRPr="0094270F" w:rsidTr="00AC501D">
        <w:trPr>
          <w:trHeight w:val="192"/>
        </w:trPr>
        <w:tc>
          <w:tcPr>
            <w:tcW w:w="9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161" w:rsidRPr="0094270F" w:rsidRDefault="006F7161" w:rsidP="006F716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lang w:eastAsia="ru-RU"/>
              </w:rPr>
              <w:t>Уборщик служебных помещений</w:t>
            </w:r>
          </w:p>
        </w:tc>
      </w:tr>
    </w:tbl>
    <w:p w:rsidR="006F7161" w:rsidRDefault="006F7161" w:rsidP="006F716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7161" w:rsidRPr="00FE7A0D" w:rsidRDefault="006F7161" w:rsidP="006F7161">
      <w:pPr>
        <w:tabs>
          <w:tab w:val="left" w:pos="4536"/>
        </w:tabs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ru-RU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lastRenderedPageBreak/>
        <w:t>Приложение</w:t>
      </w:r>
      <w:r>
        <w:rPr>
          <w:rFonts w:eastAsia="Times New Roman"/>
          <w:bCs/>
          <w:iCs/>
          <w:sz w:val="27"/>
          <w:szCs w:val="27"/>
          <w:lang w:eastAsia="ar-SA"/>
        </w:rPr>
        <w:t xml:space="preserve"> № 3</w:t>
      </w:r>
    </w:p>
    <w:p w:rsidR="006F7161" w:rsidRPr="00FE7A0D" w:rsidRDefault="006F7161" w:rsidP="006F7161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>к решению муниципального совета</w:t>
      </w:r>
    </w:p>
    <w:p w:rsidR="006F7161" w:rsidRPr="00FE7A0D" w:rsidRDefault="006F7161" w:rsidP="006F7161">
      <w:pPr>
        <w:tabs>
          <w:tab w:val="left" w:pos="4536"/>
        </w:tabs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 w:rsidRPr="00FE7A0D">
        <w:rPr>
          <w:rFonts w:eastAsia="Times New Roman"/>
          <w:bCs/>
          <w:iCs/>
          <w:sz w:val="27"/>
          <w:szCs w:val="27"/>
          <w:lang w:eastAsia="ar-SA"/>
        </w:rPr>
        <w:t>внутригородского муниципального образования Санкт-Петербурга муниципальный округ Сергиевское</w:t>
      </w:r>
    </w:p>
    <w:p w:rsidR="006F7161" w:rsidRPr="00FE7A0D" w:rsidRDefault="006C1BDB" w:rsidP="006F7161">
      <w:pPr>
        <w:suppressAutoHyphens/>
        <w:spacing w:after="0" w:line="240" w:lineRule="auto"/>
        <w:ind w:left="5103"/>
        <w:rPr>
          <w:rFonts w:eastAsia="Times New Roman"/>
          <w:bCs/>
          <w:iCs/>
          <w:sz w:val="27"/>
          <w:szCs w:val="27"/>
          <w:lang w:eastAsia="ar-SA"/>
        </w:rPr>
      </w:pPr>
      <w:r>
        <w:rPr>
          <w:rFonts w:eastAsia="Times New Roman"/>
          <w:bCs/>
          <w:iCs/>
          <w:sz w:val="27"/>
          <w:szCs w:val="27"/>
          <w:lang w:eastAsia="ar-SA"/>
        </w:rPr>
        <w:t>от 20</w:t>
      </w:r>
      <w:bookmarkStart w:id="0" w:name="_GoBack"/>
      <w:bookmarkEnd w:id="0"/>
      <w:r w:rsidR="006F7161" w:rsidRPr="00FE7A0D">
        <w:rPr>
          <w:rFonts w:eastAsia="Times New Roman"/>
          <w:bCs/>
          <w:iCs/>
          <w:sz w:val="27"/>
          <w:szCs w:val="27"/>
          <w:lang w:eastAsia="ar-SA"/>
        </w:rPr>
        <w:t xml:space="preserve"> </w:t>
      </w:r>
      <w:r w:rsidR="006F7161">
        <w:rPr>
          <w:rFonts w:eastAsia="Times New Roman"/>
          <w:bCs/>
          <w:iCs/>
          <w:sz w:val="27"/>
          <w:szCs w:val="27"/>
          <w:lang w:eastAsia="ar-SA"/>
        </w:rPr>
        <w:t>декабря 2021 года № 21/</w:t>
      </w:r>
      <w:r w:rsidR="00B15FCA">
        <w:rPr>
          <w:rFonts w:eastAsia="Times New Roman"/>
          <w:bCs/>
          <w:iCs/>
          <w:sz w:val="27"/>
          <w:szCs w:val="27"/>
          <w:lang w:eastAsia="ar-SA"/>
        </w:rPr>
        <w:t>2</w:t>
      </w:r>
    </w:p>
    <w:p w:rsidR="006F7161" w:rsidRDefault="006F7161" w:rsidP="006F7161">
      <w:pPr>
        <w:spacing w:before="100" w:after="100" w:line="240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</w:p>
    <w:p w:rsidR="006F7161" w:rsidRDefault="006F7161" w:rsidP="006F7161">
      <w:pPr>
        <w:spacing w:after="0" w:line="240" w:lineRule="auto"/>
        <w:ind w:firstLine="567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СХЕМА</w:t>
      </w:r>
      <w:r w:rsidRPr="0094270F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5153EF" w:rsidRDefault="006F7161" w:rsidP="006F716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расчёта окладов</w:t>
      </w:r>
      <w:r w:rsidRPr="006F716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работников, осуществляющих техническое обеспечение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де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ятельности муниципального совета</w:t>
      </w: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внутригородс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кого муниципального</w:t>
      </w:r>
    </w:p>
    <w:p w:rsidR="006F7161" w:rsidRDefault="006F7161" w:rsidP="006F7161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образования Санкт-Петербурга муниципальный округ </w:t>
      </w:r>
      <w:r w:rsidRPr="004201AC">
        <w:rPr>
          <w:rFonts w:eastAsia="Times New Roman"/>
          <w:b/>
          <w:bCs/>
          <w:color w:val="000000"/>
          <w:sz w:val="28"/>
          <w:szCs w:val="28"/>
          <w:lang w:eastAsia="ru-RU"/>
        </w:rPr>
        <w:t>Сергиевское</w:t>
      </w:r>
    </w:p>
    <w:p w:rsidR="006F7161" w:rsidRPr="0094270F" w:rsidRDefault="006F7161" w:rsidP="006F716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270F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715"/>
        <w:gridCol w:w="3835"/>
        <w:gridCol w:w="3261"/>
      </w:tblGrid>
      <w:tr w:rsidR="006F7161" w:rsidRPr="0094270F" w:rsidTr="006F7161">
        <w:trPr>
          <w:trHeight w:val="900"/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6F7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№ п/п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6F7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Наименование коэффициента</w:t>
            </w:r>
          </w:p>
        </w:tc>
        <w:tc>
          <w:tcPr>
            <w:tcW w:w="4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6F7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Основание для повышения величины базовой единицы</w:t>
            </w:r>
          </w:p>
        </w:tc>
        <w:tc>
          <w:tcPr>
            <w:tcW w:w="3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6F7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Величина базового коэффициента и повышающих коэффициентов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2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Базовый коэффициент</w:t>
            </w:r>
          </w:p>
        </w:tc>
      </w:tr>
      <w:tr w:rsidR="006F7161" w:rsidRPr="0094270F" w:rsidTr="006F7161">
        <w:trPr>
          <w:trHeight w:val="1800"/>
          <w:jc w:val="center"/>
        </w:trPr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1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Коэффициент уровня образования</w:t>
            </w: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Высшее профессиональное образование, подтверждаемое присвоением лицу, успешно прошедшему итоговую аттестацию, квалификации "магистр" или "дипломированный специалист"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1,5</w:t>
            </w:r>
          </w:p>
        </w:tc>
      </w:tr>
      <w:tr w:rsidR="006F7161" w:rsidRPr="0094270F" w:rsidTr="006F7161">
        <w:trPr>
          <w:trHeight w:val="15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Высшее профессиональное образование, подтверждаемое присвоением лицу, успешно прошедшему итоговую аттестацию, квалификации "бакалавр"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1,4</w:t>
            </w:r>
          </w:p>
        </w:tc>
      </w:tr>
      <w:tr w:rsidR="006F7161" w:rsidRPr="0094270F" w:rsidTr="006F7161">
        <w:trPr>
          <w:trHeight w:val="9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Неполное высшее образование; среднее профессиональное образование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1,2 до 1,3</w:t>
            </w:r>
          </w:p>
        </w:tc>
      </w:tr>
      <w:tr w:rsidR="006F7161" w:rsidRPr="0094270F" w:rsidTr="006F7161">
        <w:trPr>
          <w:trHeight w:val="6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1,08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Среднее (полное) общее образование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1,04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2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Повышающие коэффициенты к базовому окладу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1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Коэффициент стажа работы</w:t>
            </w: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Стаж работы более 20 лет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0,5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Стаж работы от 10 до 20 лет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0,4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Стаж работы от 5 до 10 лет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0,3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Стаж работы от 2 до 5 лет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0,2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Стаж работы от 0 до 2 лет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0,1</w:t>
            </w:r>
          </w:p>
        </w:tc>
      </w:tr>
      <w:tr w:rsidR="006F7161" w:rsidRPr="0094270F" w:rsidTr="006F7161">
        <w:trPr>
          <w:trHeight w:val="600"/>
          <w:jc w:val="center"/>
        </w:trPr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2.2.</w:t>
            </w:r>
          </w:p>
        </w:tc>
        <w:tc>
          <w:tcPr>
            <w:tcW w:w="1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Коэффициент специфики работы</w:t>
            </w: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Тип 1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1,0 до 1,5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Тип 2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0,8 до 1,0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Тип 3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0,5 до 0,8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Тип 4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0,3 до 0,5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Тип 5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 до 0,3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2.3.</w:t>
            </w:r>
          </w:p>
        </w:tc>
        <w:tc>
          <w:tcPr>
            <w:tcW w:w="1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Коэффициент квалификации</w:t>
            </w: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0,25 до 0,35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Ведущая категория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0,2 до 0,3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0,1 до 0,2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Вторая категория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0,05 до 0,15</w:t>
            </w:r>
          </w:p>
        </w:tc>
      </w:tr>
      <w:tr w:rsidR="006F7161" w:rsidRPr="0094270F" w:rsidTr="006F7161">
        <w:trPr>
          <w:trHeight w:val="600"/>
          <w:jc w:val="center"/>
        </w:trPr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2.4.</w:t>
            </w:r>
          </w:p>
        </w:tc>
        <w:tc>
          <w:tcPr>
            <w:tcW w:w="1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Коэффициент масштаба управления</w:t>
            </w: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Группа 1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0,8 до 1,0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Группа 2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0,6 до 0,8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Группа 3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0,4 до 0,6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Группа 4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0,2 до 0,4</w:t>
            </w:r>
          </w:p>
        </w:tc>
      </w:tr>
      <w:tr w:rsidR="006F7161" w:rsidRPr="0094270F" w:rsidTr="006F7161">
        <w:trPr>
          <w:trHeight w:val="3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Группа 5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 до 0,2</w:t>
            </w:r>
          </w:p>
        </w:tc>
      </w:tr>
      <w:tr w:rsidR="006F7161" w:rsidRPr="0094270F" w:rsidTr="006F7161">
        <w:trPr>
          <w:trHeight w:val="600"/>
          <w:jc w:val="center"/>
        </w:trPr>
        <w:tc>
          <w:tcPr>
            <w:tcW w:w="4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2.5.</w:t>
            </w:r>
          </w:p>
        </w:tc>
        <w:tc>
          <w:tcPr>
            <w:tcW w:w="17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Коэффициент уровня управления</w:t>
            </w: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Уровень 1 - руководители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0,6 до 0,8</w:t>
            </w:r>
          </w:p>
        </w:tc>
      </w:tr>
      <w:tr w:rsidR="006F7161" w:rsidRPr="0094270F" w:rsidTr="006F7161">
        <w:trPr>
          <w:trHeight w:val="6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Уровень 2 - заместители руководителей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0,4 до 0,6</w:t>
            </w:r>
          </w:p>
        </w:tc>
      </w:tr>
      <w:tr w:rsidR="006F7161" w:rsidRPr="0094270F" w:rsidTr="006F7161">
        <w:trPr>
          <w:trHeight w:val="90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161" w:rsidRPr="0094270F" w:rsidRDefault="006F7161" w:rsidP="00AC50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6F7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Уровень 3 - руководители структурных подразделений</w:t>
            </w:r>
          </w:p>
        </w:tc>
        <w:tc>
          <w:tcPr>
            <w:tcW w:w="346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7161" w:rsidRPr="0094270F" w:rsidRDefault="006F7161" w:rsidP="00AC5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270F">
              <w:rPr>
                <w:rFonts w:eastAsia="Times New Roman"/>
                <w:color w:val="000000"/>
                <w:lang w:eastAsia="ru-RU"/>
              </w:rPr>
              <w:t>от 0,1 до 0,4</w:t>
            </w:r>
          </w:p>
        </w:tc>
      </w:tr>
    </w:tbl>
    <w:p w:rsidR="006F7161" w:rsidRDefault="006F7161" w:rsidP="006F7161">
      <w:pPr>
        <w:spacing w:after="0" w:line="240" w:lineRule="auto"/>
        <w:jc w:val="center"/>
        <w:rPr>
          <w:b/>
          <w:sz w:val="28"/>
          <w:szCs w:val="28"/>
        </w:rPr>
      </w:pPr>
    </w:p>
    <w:p w:rsidR="006F7161" w:rsidRPr="004201AC" w:rsidRDefault="006F7161" w:rsidP="006F71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</w:p>
    <w:sectPr w:rsidR="006F7161" w:rsidRPr="004201AC" w:rsidSect="00F82AB2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97" w:rsidRDefault="002A4B97" w:rsidP="005153EF">
      <w:pPr>
        <w:spacing w:after="0" w:line="240" w:lineRule="auto"/>
      </w:pPr>
      <w:r>
        <w:separator/>
      </w:r>
    </w:p>
  </w:endnote>
  <w:endnote w:type="continuationSeparator" w:id="0">
    <w:p w:rsidR="002A4B97" w:rsidRDefault="002A4B97" w:rsidP="0051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97" w:rsidRDefault="002A4B97" w:rsidP="005153EF">
      <w:pPr>
        <w:spacing w:after="0" w:line="240" w:lineRule="auto"/>
      </w:pPr>
      <w:r>
        <w:separator/>
      </w:r>
    </w:p>
  </w:footnote>
  <w:footnote w:type="continuationSeparator" w:id="0">
    <w:p w:rsidR="002A4B97" w:rsidRDefault="002A4B97" w:rsidP="0051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EF" w:rsidRDefault="005153EF">
    <w:pPr>
      <w:pStyle w:val="a4"/>
      <w:jc w:val="center"/>
    </w:pPr>
  </w:p>
  <w:p w:rsidR="005153EF" w:rsidRDefault="00515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63"/>
    <w:multiLevelType w:val="multilevel"/>
    <w:tmpl w:val="E8407F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2431E"/>
    <w:multiLevelType w:val="multilevel"/>
    <w:tmpl w:val="16623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49"/>
    <w:rsid w:val="00052ECF"/>
    <w:rsid w:val="0010072C"/>
    <w:rsid w:val="00144BB3"/>
    <w:rsid w:val="001643DE"/>
    <w:rsid w:val="00171FE0"/>
    <w:rsid w:val="001B0BA7"/>
    <w:rsid w:val="001B544D"/>
    <w:rsid w:val="001B6E1C"/>
    <w:rsid w:val="001D539F"/>
    <w:rsid w:val="001F456F"/>
    <w:rsid w:val="0021320E"/>
    <w:rsid w:val="00251F04"/>
    <w:rsid w:val="002A4B97"/>
    <w:rsid w:val="002D026C"/>
    <w:rsid w:val="002D3187"/>
    <w:rsid w:val="002F2595"/>
    <w:rsid w:val="00300813"/>
    <w:rsid w:val="0030382E"/>
    <w:rsid w:val="00386D72"/>
    <w:rsid w:val="003C0F19"/>
    <w:rsid w:val="003C2888"/>
    <w:rsid w:val="003F2453"/>
    <w:rsid w:val="003F3DEB"/>
    <w:rsid w:val="0040081A"/>
    <w:rsid w:val="004201AC"/>
    <w:rsid w:val="00422019"/>
    <w:rsid w:val="004901AB"/>
    <w:rsid w:val="004E6DDA"/>
    <w:rsid w:val="005002EB"/>
    <w:rsid w:val="005153EF"/>
    <w:rsid w:val="005216C0"/>
    <w:rsid w:val="00544AE6"/>
    <w:rsid w:val="005569B2"/>
    <w:rsid w:val="005672E8"/>
    <w:rsid w:val="00617884"/>
    <w:rsid w:val="0064513D"/>
    <w:rsid w:val="0064541C"/>
    <w:rsid w:val="00645AB1"/>
    <w:rsid w:val="006C1BDB"/>
    <w:rsid w:val="006F7161"/>
    <w:rsid w:val="0071687C"/>
    <w:rsid w:val="007320E9"/>
    <w:rsid w:val="007328C3"/>
    <w:rsid w:val="00737164"/>
    <w:rsid w:val="00741C28"/>
    <w:rsid w:val="00761D57"/>
    <w:rsid w:val="0079032F"/>
    <w:rsid w:val="007B4628"/>
    <w:rsid w:val="007B478B"/>
    <w:rsid w:val="007C6848"/>
    <w:rsid w:val="007E176F"/>
    <w:rsid w:val="00804F96"/>
    <w:rsid w:val="00805176"/>
    <w:rsid w:val="00805F51"/>
    <w:rsid w:val="00806626"/>
    <w:rsid w:val="008310DE"/>
    <w:rsid w:val="008647D0"/>
    <w:rsid w:val="008875BE"/>
    <w:rsid w:val="008E6F93"/>
    <w:rsid w:val="008F2AFB"/>
    <w:rsid w:val="009106ED"/>
    <w:rsid w:val="00935656"/>
    <w:rsid w:val="009C08A4"/>
    <w:rsid w:val="009E7549"/>
    <w:rsid w:val="009F6904"/>
    <w:rsid w:val="00A257BD"/>
    <w:rsid w:val="00A51A45"/>
    <w:rsid w:val="00AE72B0"/>
    <w:rsid w:val="00B11CEE"/>
    <w:rsid w:val="00B15FCA"/>
    <w:rsid w:val="00B50080"/>
    <w:rsid w:val="00B73D42"/>
    <w:rsid w:val="00B77A2F"/>
    <w:rsid w:val="00BB4985"/>
    <w:rsid w:val="00C179C1"/>
    <w:rsid w:val="00CB7A45"/>
    <w:rsid w:val="00CD1FC2"/>
    <w:rsid w:val="00CD6179"/>
    <w:rsid w:val="00D23B37"/>
    <w:rsid w:val="00D436C5"/>
    <w:rsid w:val="00D46FC9"/>
    <w:rsid w:val="00D7337E"/>
    <w:rsid w:val="00D84B5A"/>
    <w:rsid w:val="00DA030C"/>
    <w:rsid w:val="00DB075C"/>
    <w:rsid w:val="00DF5B96"/>
    <w:rsid w:val="00EC70F4"/>
    <w:rsid w:val="00EE6FB9"/>
    <w:rsid w:val="00F35745"/>
    <w:rsid w:val="00F4490A"/>
    <w:rsid w:val="00F45AB5"/>
    <w:rsid w:val="00F81706"/>
    <w:rsid w:val="00F8205C"/>
    <w:rsid w:val="00F82583"/>
    <w:rsid w:val="00F82AB2"/>
    <w:rsid w:val="00F84725"/>
    <w:rsid w:val="00FA631F"/>
    <w:rsid w:val="00FE7A0D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87FD-7235-486E-A48C-3C5CEFB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EF"/>
    <w:pPr>
      <w:spacing w:after="0" w:line="240" w:lineRule="auto"/>
      <w:ind w:right="142" w:firstLine="709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DE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4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1339-BF8C-4F4C-BB97-2C47B07B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Вера В.</dc:creator>
  <cp:lastModifiedBy>Svetlana</cp:lastModifiedBy>
  <cp:revision>10</cp:revision>
  <cp:lastPrinted>2021-11-24T08:42:00Z</cp:lastPrinted>
  <dcterms:created xsi:type="dcterms:W3CDTF">2020-02-17T14:20:00Z</dcterms:created>
  <dcterms:modified xsi:type="dcterms:W3CDTF">2021-12-14T11:20:00Z</dcterms:modified>
</cp:coreProperties>
</file>